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E18CA5C" w:rsidR="00F92268" w:rsidRPr="00FF66BF" w:rsidRDefault="00D44C62" w:rsidP="00F246C7">
            <w:pPr>
              <w:pStyle w:val="RefTableHeader"/>
            </w:pPr>
            <w:r w:rsidRPr="00D44C62">
              <w:t>1668-A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E50D2A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5186AD7" w:rsidR="004B15BB" w:rsidRPr="00BD1CC1" w:rsidRDefault="00695859" w:rsidP="007E5C16">
      <w:pPr>
        <w:pStyle w:val="Heading1"/>
      </w:pPr>
      <w:r w:rsidRPr="00695859">
        <w:t>Specialty Guideline Management</w:t>
      </w:r>
      <w:r w:rsidR="008C54D9" w:rsidRPr="00BD1CC1">
        <w:br/>
      </w:r>
      <w:r w:rsidRPr="00695859">
        <w:t>Zykadia</w:t>
      </w:r>
    </w:p>
    <w:p w14:paraId="78861C92" w14:textId="13494C3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4C76ED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FD2C76" w:rsidRPr="00FD2C76">
        <w:t>Over-the-counter</w:t>
      </w:r>
      <w:proofErr w:type="gramEnd"/>
      <w:r w:rsidR="00FD2C76" w:rsidRPr="00FD2C76">
        <w:t xml:space="preserve">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77C861E" w:rsidR="00585FFF" w:rsidRPr="00BD1CC1" w:rsidRDefault="00695859" w:rsidP="00E82ABA">
            <w:pPr>
              <w:pStyle w:val="TableDataUnpadded"/>
            </w:pPr>
            <w:r w:rsidRPr="00695859">
              <w:t>Zykadia</w:t>
            </w:r>
          </w:p>
        </w:tc>
        <w:tc>
          <w:tcPr>
            <w:tcW w:w="5595" w:type="dxa"/>
          </w:tcPr>
          <w:p w14:paraId="7E26A004" w14:textId="703302A9" w:rsidR="00585FFF" w:rsidRPr="00BD1CC1" w:rsidRDefault="00695859" w:rsidP="00E82ABA">
            <w:pPr>
              <w:pStyle w:val="TableDataUnpadded"/>
            </w:pPr>
            <w:proofErr w:type="spellStart"/>
            <w:r w:rsidRPr="00695859">
              <w:t>ceritinib</w:t>
            </w:r>
            <w:proofErr w:type="spellEnd"/>
          </w:p>
        </w:tc>
      </w:tr>
    </w:tbl>
    <w:bookmarkEnd w:id="0"/>
    <w:p w14:paraId="14CE6108" w14:textId="7F0B8C5F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3A872909" w14:textId="5180AE1C" w:rsidR="00695859" w:rsidRPr="00695859" w:rsidRDefault="00695859" w:rsidP="00695859">
      <w:pPr>
        <w:pStyle w:val="BodyText"/>
      </w:pPr>
      <w:r w:rsidRPr="00695859">
        <w:t xml:space="preserve">The indications below including FDA-approved indications and compendial uses are considered a covered benefit provided that all the approval criteria are </w:t>
      </w:r>
      <w:proofErr w:type="gramStart"/>
      <w:r w:rsidRPr="00695859">
        <w:t>met</w:t>
      </w:r>
      <w:proofErr w:type="gramEnd"/>
      <w:r w:rsidRPr="00695859">
        <w:t xml:space="preserve"> and the member has no exclusions to the prescribed therapy.</w:t>
      </w:r>
    </w:p>
    <w:p w14:paraId="134B5687" w14:textId="51240A7D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B5117A" w:rsidRPr="00B5117A">
        <w:rPr>
          <w:vertAlign w:val="superscript"/>
        </w:rPr>
        <w:t>1</w:t>
      </w:r>
    </w:p>
    <w:p w14:paraId="4C434745" w14:textId="3C966AD8" w:rsidR="00ED052F" w:rsidRDefault="00B5117A" w:rsidP="00ED052F">
      <w:pPr>
        <w:pStyle w:val="BodyText"/>
      </w:pPr>
      <w:r w:rsidRPr="00B5117A">
        <w:t>Zykadia is indicated for the treatment of adult patients with metastatic non-small cell lung cancer (NSCLC) whose tumors are anaplastic lymphoma kinase (ALK)-positive as detected by an FDA-approved test.</w:t>
      </w:r>
    </w:p>
    <w:p w14:paraId="0B5EC236" w14:textId="1AA76F20" w:rsidR="0044763A" w:rsidRPr="00695859" w:rsidRDefault="009F2EF1" w:rsidP="0044763A">
      <w:pPr>
        <w:pStyle w:val="Heading3"/>
      </w:pPr>
      <w:r>
        <w:t>Compendial Uses</w:t>
      </w:r>
      <w:r w:rsidR="00B5117A" w:rsidRPr="00B5117A">
        <w:rPr>
          <w:vertAlign w:val="superscript"/>
        </w:rPr>
        <w:t>2</w:t>
      </w:r>
    </w:p>
    <w:p w14:paraId="795F68E8" w14:textId="6772F911" w:rsidR="00B5117A" w:rsidRPr="00FA7483" w:rsidRDefault="00B5117A" w:rsidP="00FA7483">
      <w:pPr>
        <w:pStyle w:val="ListParagraph"/>
        <w:numPr>
          <w:ilvl w:val="0"/>
          <w:numId w:val="29"/>
        </w:numPr>
      </w:pPr>
      <w:r w:rsidRPr="00FA7483">
        <w:t>NSCLC, recurrent, advanced or metastatic ALK rearrangement-positive tumors</w:t>
      </w:r>
    </w:p>
    <w:p w14:paraId="5C4873D5" w14:textId="77777777" w:rsidR="00B5117A" w:rsidRPr="00FA7483" w:rsidRDefault="00B5117A" w:rsidP="00FA7483">
      <w:pPr>
        <w:pStyle w:val="ListParagraph"/>
        <w:numPr>
          <w:ilvl w:val="0"/>
          <w:numId w:val="29"/>
        </w:numPr>
      </w:pPr>
      <w:r w:rsidRPr="00FA7483">
        <w:t xml:space="preserve">Inflammatory </w:t>
      </w:r>
      <w:proofErr w:type="spellStart"/>
      <w:r w:rsidRPr="00FA7483">
        <w:t>myofibroblastic</w:t>
      </w:r>
      <w:proofErr w:type="spellEnd"/>
      <w:r w:rsidRPr="00FA7483">
        <w:t xml:space="preserve"> tumor (IMT) with ALK translocation</w:t>
      </w:r>
    </w:p>
    <w:p w14:paraId="62908D6A" w14:textId="3028A001" w:rsidR="00B5117A" w:rsidRPr="00FA7483" w:rsidRDefault="00B5117A" w:rsidP="00FA7483">
      <w:pPr>
        <w:pStyle w:val="ListParagraph"/>
        <w:numPr>
          <w:ilvl w:val="0"/>
          <w:numId w:val="29"/>
        </w:numPr>
      </w:pPr>
      <w:r w:rsidRPr="00FA7483">
        <w:t>Brain metastases from ALK rearrangement-positive NSCLC</w:t>
      </w:r>
    </w:p>
    <w:p w14:paraId="0B069B19" w14:textId="218F1AF6" w:rsidR="00B5117A" w:rsidRPr="00FA7483" w:rsidRDefault="00B5117A" w:rsidP="00FA7483">
      <w:pPr>
        <w:pStyle w:val="ListParagraph"/>
        <w:numPr>
          <w:ilvl w:val="0"/>
          <w:numId w:val="29"/>
        </w:numPr>
      </w:pPr>
      <w:proofErr w:type="spellStart"/>
      <w:r w:rsidRPr="00FA7483">
        <w:t>Erdheim</w:t>
      </w:r>
      <w:proofErr w:type="spellEnd"/>
      <w:r w:rsidRPr="00FA7483">
        <w:t>-Chester Disease (ECD) with ALK-fusion</w:t>
      </w:r>
    </w:p>
    <w:p w14:paraId="0D5A9DD5" w14:textId="1778BBF1" w:rsidR="009A5649" w:rsidRPr="00BD1CC1" w:rsidRDefault="00B5117A" w:rsidP="00B5117A">
      <w:pPr>
        <w:pStyle w:val="BodyText"/>
        <w:rPr>
          <w:rFonts w:eastAsia="Arial"/>
        </w:rPr>
      </w:pPr>
      <w:r w:rsidRPr="00B5117A">
        <w:rPr>
          <w:color w:val="222222"/>
        </w:rPr>
        <w:t>All other indications are considered experimental/investigational and not medically necessary.</w:t>
      </w:r>
    </w:p>
    <w:p w14:paraId="36381B6D" w14:textId="3A89B6F7" w:rsidR="000D2496" w:rsidRPr="00BD1CC1" w:rsidRDefault="000D2496" w:rsidP="0070438D">
      <w:pPr>
        <w:pStyle w:val="Heading2"/>
        <w:tabs>
          <w:tab w:val="left" w:pos="9920"/>
        </w:tabs>
      </w:pPr>
      <w:r w:rsidRPr="00BD1CC1">
        <w:lastRenderedPageBreak/>
        <w:t>Documentation</w:t>
      </w:r>
    </w:p>
    <w:p w14:paraId="2180ED6E" w14:textId="1D3CBF19" w:rsidR="000D2496" w:rsidRDefault="00B5117A" w:rsidP="00B5117A">
      <w:pPr>
        <w:pStyle w:val="BodyText"/>
      </w:pPr>
      <w:r>
        <w:t>Submission of the following information is necessary to initiate the prior authorization review: ALK mutation or translocation status.</w:t>
      </w:r>
    </w:p>
    <w:p w14:paraId="50A38FBA" w14:textId="0A6A66E3" w:rsidR="00FE0C63" w:rsidRPr="00695859" w:rsidRDefault="00685107" w:rsidP="00E050E1">
      <w:pPr>
        <w:pStyle w:val="Heading2"/>
      </w:pPr>
      <w:r>
        <w:t>Coverage Criteria</w:t>
      </w:r>
    </w:p>
    <w:p w14:paraId="74CCC406" w14:textId="77777777" w:rsidR="00B5117A" w:rsidRPr="00B5117A" w:rsidRDefault="00B5117A" w:rsidP="00B5117A">
      <w:pPr>
        <w:pStyle w:val="Heading3"/>
      </w:pPr>
      <w:r w:rsidRPr="00B5117A">
        <w:t>Non-Small Cell Lung Cancer (NSCLC)</w:t>
      </w:r>
      <w:r w:rsidRPr="00D44C62">
        <w:rPr>
          <w:vertAlign w:val="superscript"/>
        </w:rPr>
        <w:t>1,2</w:t>
      </w:r>
    </w:p>
    <w:p w14:paraId="1BEB7D2E" w14:textId="62E18DA9" w:rsidR="00B5117A" w:rsidRPr="00FA7483" w:rsidRDefault="00B5117A" w:rsidP="00477680">
      <w:pPr>
        <w:pStyle w:val="BodyText"/>
      </w:pPr>
      <w:r w:rsidRPr="00B5117A">
        <w:t xml:space="preserve">Authorization of 12 months may be granted for treatment of NSCLC as a single agent when the </w:t>
      </w:r>
      <w:proofErr w:type="gramStart"/>
      <w:r w:rsidRPr="00B5117A">
        <w:t xml:space="preserve">member </w:t>
      </w:r>
      <w:r w:rsidRPr="00FA7483">
        <w:t xml:space="preserve"> has</w:t>
      </w:r>
      <w:proofErr w:type="gramEnd"/>
      <w:r w:rsidRPr="00FA7483">
        <w:t xml:space="preserve"> recurrent, advanced, or metastatic ALK-positive NSCLC (including brain metastases from NSCLC)</w:t>
      </w:r>
      <w:r w:rsidR="00BD4798">
        <w:t>.</w:t>
      </w:r>
    </w:p>
    <w:p w14:paraId="2EF310C2" w14:textId="77777777" w:rsidR="00B5117A" w:rsidRPr="00B5117A" w:rsidRDefault="00B5117A" w:rsidP="00B5117A">
      <w:pPr>
        <w:pStyle w:val="Heading3"/>
      </w:pPr>
      <w:r w:rsidRPr="00B5117A">
        <w:t>Anaplastic Large Cell Lymphoma (ALCL)</w:t>
      </w:r>
      <w:r w:rsidRPr="00D44C62">
        <w:rPr>
          <w:vertAlign w:val="superscript"/>
        </w:rPr>
        <w:t>2</w:t>
      </w:r>
    </w:p>
    <w:p w14:paraId="6E6E4A5A" w14:textId="213E380D" w:rsidR="00B5117A" w:rsidRPr="00FA4DDA" w:rsidRDefault="00B5117A" w:rsidP="00B5117A">
      <w:pPr>
        <w:pStyle w:val="BodyText"/>
      </w:pPr>
      <w:r w:rsidRPr="00FA4DDA">
        <w:t>Authorization of 12 months may be granted for initial palliative therapy or treatment of relapsed/refractory ALK-positive ALCL as a single agent.</w:t>
      </w:r>
    </w:p>
    <w:p w14:paraId="1827425A" w14:textId="77777777" w:rsidR="00B5117A" w:rsidRPr="00FA4DDA" w:rsidRDefault="00B5117A" w:rsidP="00B5117A">
      <w:pPr>
        <w:pStyle w:val="Heading3"/>
      </w:pPr>
      <w:r w:rsidRPr="00FA4DDA">
        <w:t xml:space="preserve">Inflammatory </w:t>
      </w:r>
      <w:proofErr w:type="spellStart"/>
      <w:r w:rsidRPr="00FA4DDA">
        <w:t>Myofibroblastic</w:t>
      </w:r>
      <w:proofErr w:type="spellEnd"/>
      <w:r w:rsidRPr="00FA4DDA">
        <w:t xml:space="preserve"> Tumor (IMT)</w:t>
      </w:r>
      <w:r w:rsidRPr="00FA4DDA">
        <w:rPr>
          <w:vertAlign w:val="superscript"/>
        </w:rPr>
        <w:t>2</w:t>
      </w:r>
    </w:p>
    <w:p w14:paraId="352940A7" w14:textId="77777777" w:rsidR="00B5117A" w:rsidRPr="00FA4DDA" w:rsidRDefault="00B5117A" w:rsidP="00B5117A">
      <w:pPr>
        <w:pStyle w:val="BodyText"/>
      </w:pPr>
      <w:r w:rsidRPr="00FA4DDA">
        <w:t>Authorization of 12 months may be granted for treatment of ALK-positive IMT as a single agent when either of the following criteria are met:</w:t>
      </w:r>
    </w:p>
    <w:p w14:paraId="0AA204DD" w14:textId="77777777" w:rsidR="00B5117A" w:rsidRPr="00FA4DDA" w:rsidRDefault="00B5117A" w:rsidP="00FA7483">
      <w:pPr>
        <w:pStyle w:val="ListParagraph"/>
        <w:numPr>
          <w:ilvl w:val="0"/>
          <w:numId w:val="31"/>
        </w:numPr>
      </w:pPr>
      <w:r w:rsidRPr="00FA4DDA">
        <w:t>The member has uterine sarcoma and the disease is advanced, recurrent, metastatic, or inoperable</w:t>
      </w:r>
    </w:p>
    <w:p w14:paraId="389F6B4A" w14:textId="7D33B842" w:rsidR="00B5117A" w:rsidRPr="00FA4DDA" w:rsidRDefault="00B5117A" w:rsidP="00FA7483">
      <w:pPr>
        <w:pStyle w:val="ListParagraph"/>
        <w:numPr>
          <w:ilvl w:val="0"/>
          <w:numId w:val="31"/>
        </w:numPr>
      </w:pPr>
      <w:r w:rsidRPr="00FA4DDA">
        <w:t>The member has a soft tissue sarcoma (not including uterine sarcoma)</w:t>
      </w:r>
    </w:p>
    <w:p w14:paraId="56E3D351" w14:textId="77777777" w:rsidR="00B5117A" w:rsidRPr="00FA4DDA" w:rsidRDefault="00B5117A" w:rsidP="00B5117A">
      <w:pPr>
        <w:pStyle w:val="Heading3"/>
      </w:pPr>
      <w:proofErr w:type="spellStart"/>
      <w:r w:rsidRPr="00FA4DDA">
        <w:t>Erdheim</w:t>
      </w:r>
      <w:proofErr w:type="spellEnd"/>
      <w:r w:rsidRPr="00FA4DDA">
        <w:t>-Chester Disease (ECD)</w:t>
      </w:r>
      <w:r w:rsidRPr="00FA4DDA">
        <w:rPr>
          <w:vertAlign w:val="superscript"/>
        </w:rPr>
        <w:t>2</w:t>
      </w:r>
    </w:p>
    <w:p w14:paraId="2048DB21" w14:textId="77777777" w:rsidR="002D678B" w:rsidRDefault="00B5117A" w:rsidP="00B5117A">
      <w:pPr>
        <w:pStyle w:val="BodyText"/>
      </w:pPr>
      <w:r w:rsidRPr="00FA4DDA">
        <w:t xml:space="preserve">Authorization of 12 months may be granted for treatment of symptomatic or relapsed/refractory ALK-positive </w:t>
      </w:r>
      <w:proofErr w:type="spellStart"/>
      <w:r w:rsidRPr="00FA4DDA">
        <w:t>Erdheim</w:t>
      </w:r>
      <w:proofErr w:type="spellEnd"/>
      <w:r w:rsidRPr="00FA4DDA">
        <w:t>-Chester Disease as a single agent.</w:t>
      </w:r>
    </w:p>
    <w:p w14:paraId="3A643EC3" w14:textId="5223049A" w:rsidR="00A501AC" w:rsidRPr="00BD1CC1" w:rsidRDefault="00A501AC" w:rsidP="00560B83">
      <w:pPr>
        <w:pStyle w:val="Heading2"/>
        <w:keepLines/>
        <w:widowControl w:val="0"/>
      </w:pPr>
      <w:r w:rsidRPr="00BD1CC1">
        <w:t>Continuation of Therapy</w:t>
      </w:r>
    </w:p>
    <w:p w14:paraId="745F9D4D" w14:textId="5FE4FFA7" w:rsidR="00B5117A" w:rsidRDefault="00B5117A" w:rsidP="00560B83">
      <w:pPr>
        <w:pStyle w:val="Heading3"/>
        <w:keepNext w:val="0"/>
        <w:keepLines w:val="0"/>
        <w:widowControl w:val="0"/>
      </w:pPr>
      <w:r>
        <w:t>Non-Small Cell Lung Cancer (NSCLC)</w:t>
      </w:r>
      <w:r w:rsidRPr="00D44C62">
        <w:rPr>
          <w:vertAlign w:val="superscript"/>
        </w:rPr>
        <w:t>1</w:t>
      </w:r>
      <w:r w:rsidR="00FA4DDA">
        <w:rPr>
          <w:vertAlign w:val="superscript"/>
        </w:rPr>
        <w:t>-</w:t>
      </w:r>
      <w:r w:rsidRPr="00D44C62">
        <w:rPr>
          <w:vertAlign w:val="superscript"/>
        </w:rPr>
        <w:t>3</w:t>
      </w:r>
    </w:p>
    <w:p w14:paraId="7B285085" w14:textId="77777777" w:rsidR="00FA7483" w:rsidRDefault="00B5117A" w:rsidP="00560B83">
      <w:pPr>
        <w:pStyle w:val="BodyText"/>
        <w:widowControl w:val="0"/>
      </w:pPr>
      <w:r>
        <w:t>Authorization of 12 months may be granted for continued treatment of non-small cell lung cancer (NSCLC)</w:t>
      </w:r>
      <w:r w:rsidR="00560B83">
        <w:t xml:space="preserve"> </w:t>
      </w:r>
      <w:r>
        <w:t>in members requesting reauthorization when there is no evidence of unacceptable toxicity while on the current regimen.</w:t>
      </w:r>
    </w:p>
    <w:p w14:paraId="5EF535AE" w14:textId="30DE7913" w:rsidR="00B5117A" w:rsidRDefault="00B5117A" w:rsidP="00D44C62">
      <w:pPr>
        <w:pStyle w:val="Heading3"/>
      </w:pPr>
      <w:r>
        <w:lastRenderedPageBreak/>
        <w:t>All Other Indications</w:t>
      </w:r>
      <w:r w:rsidRPr="00D44C62">
        <w:rPr>
          <w:vertAlign w:val="superscript"/>
        </w:rPr>
        <w:t>2</w:t>
      </w:r>
    </w:p>
    <w:p w14:paraId="32C8905D" w14:textId="00194F2C" w:rsidR="00A501AC" w:rsidRPr="003D46B0" w:rsidRDefault="00B5117A" w:rsidP="00B5117A">
      <w:pPr>
        <w:pStyle w:val="BodyText"/>
      </w:pPr>
      <w:r>
        <w:t xml:space="preserve">Authorization of 12 months may be granted for continued treatment in members requesting </w:t>
      </w:r>
      <w:proofErr w:type="gramStart"/>
      <w:r>
        <w:t>reauthorization</w:t>
      </w:r>
      <w:proofErr w:type="gramEnd"/>
      <w:r>
        <w:t xml:space="preserve"> for all other indications listed in the coverage criteria section when there is no evidence of unacceptable toxicity or disease progression while on the current regimen.</w:t>
      </w:r>
    </w:p>
    <w:p w14:paraId="10DA4309" w14:textId="7E989060" w:rsidR="00FF66BF" w:rsidRPr="008D1B34" w:rsidRDefault="00FF66BF" w:rsidP="00FF66BF">
      <w:pPr>
        <w:pStyle w:val="Heading2"/>
      </w:pPr>
      <w:r w:rsidRPr="008D1B34">
        <w:t>References</w:t>
      </w:r>
    </w:p>
    <w:p w14:paraId="0C5922A9" w14:textId="77777777" w:rsidR="00D44C62" w:rsidRDefault="00D44C62" w:rsidP="00D44C62">
      <w:pPr>
        <w:pStyle w:val="ReferenceOrdered"/>
      </w:pPr>
      <w:r>
        <w:t>Zykadia [package insert]. East Hanover, NJ: Novartis Pharmaceuticals Corp; October 2021.</w:t>
      </w:r>
    </w:p>
    <w:p w14:paraId="52935315" w14:textId="328CFAE0" w:rsidR="00D44C62" w:rsidRDefault="00D44C62" w:rsidP="00D44C62">
      <w:pPr>
        <w:pStyle w:val="ReferenceOrdered"/>
      </w:pPr>
      <w:r>
        <w:t>The NCCN Drugs &amp; Biologics Compendium® © 202</w:t>
      </w:r>
      <w:r w:rsidR="00487EBE">
        <w:t>5</w:t>
      </w:r>
      <w:r>
        <w:t xml:space="preserve"> National Comprehensive Cancer Network, Inc. https://www.nccn.org. Accessed March </w:t>
      </w:r>
      <w:r w:rsidR="00844921">
        <w:t>7</w:t>
      </w:r>
      <w:r>
        <w:t>, 202</w:t>
      </w:r>
      <w:r w:rsidR="00487EBE">
        <w:t>5</w:t>
      </w:r>
      <w:r>
        <w:t>.</w:t>
      </w:r>
    </w:p>
    <w:p w14:paraId="26E25A0F" w14:textId="13E8D524" w:rsidR="00FF66BF" w:rsidRDefault="00D44C62" w:rsidP="00D44C62">
      <w:pPr>
        <w:pStyle w:val="ReferenceOrdered"/>
      </w:pPr>
      <w:r>
        <w:t>NCCN Clinical Practice Guidelines in Oncology (NCCN Guidelines): Non-Small Cell Lung Cancer. Version 3.202</w:t>
      </w:r>
      <w:r w:rsidR="00844921">
        <w:t>5</w:t>
      </w:r>
      <w:r>
        <w:t xml:space="preserve">. Accessed March </w:t>
      </w:r>
      <w:r w:rsidR="00844921">
        <w:t>7</w:t>
      </w:r>
      <w:r>
        <w:t>, 202</w:t>
      </w:r>
      <w:r w:rsidR="00844921">
        <w:t>5</w:t>
      </w:r>
      <w:r>
        <w:t>. https://www.nccn.org/professionals/physician_gls/pdf/nscl.pdf</w:t>
      </w:r>
    </w:p>
    <w:sectPr w:rsidR="00FF66BF" w:rsidSect="00437242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D0D9" w14:textId="77777777" w:rsidR="00633747" w:rsidRDefault="00633747">
      <w:r>
        <w:separator/>
      </w:r>
    </w:p>
  </w:endnote>
  <w:endnote w:type="continuationSeparator" w:id="0">
    <w:p w14:paraId="296075AD" w14:textId="77777777" w:rsidR="00633747" w:rsidRDefault="00633747">
      <w:r>
        <w:continuationSeparator/>
      </w:r>
    </w:p>
  </w:endnote>
  <w:endnote w:type="continuationNotice" w:id="1">
    <w:p w14:paraId="3442E4B4" w14:textId="77777777" w:rsidR="00633747" w:rsidRDefault="006337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882282A" w:rsidR="00C36B72" w:rsidRPr="00EC47B6" w:rsidRDefault="00C36B72" w:rsidP="00560B83">
    <w:pPr>
      <w:tabs>
        <w:tab w:val="right" w:pos="10710"/>
      </w:tabs>
      <w:spacing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531FB" w:rsidRPr="00A531FB">
      <w:rPr>
        <w:rFonts w:cs="Arial"/>
        <w:noProof/>
        <w:sz w:val="16"/>
        <w:szCs w:val="16"/>
      </w:rPr>
      <w:t>Zykadia</w:t>
    </w:r>
    <w:r w:rsidR="00A531FB">
      <w:rPr>
        <w:rFonts w:cs="Arial"/>
        <w:noProof/>
        <w:snapToGrid w:val="0"/>
        <w:color w:val="000000"/>
        <w:sz w:val="16"/>
        <w:szCs w:val="16"/>
      </w:rPr>
      <w:t xml:space="preserve"> SGM 1668-A</w:t>
    </w:r>
    <w:r w:rsidR="00A531FB" w:rsidRPr="00A531F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B769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581F42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3F0F7F1" w:rsidR="00F75C81" w:rsidRPr="00FD2C76" w:rsidRDefault="00C36B72" w:rsidP="00437242">
    <w:pPr>
      <w:autoSpaceDE w:val="0"/>
      <w:autoSpaceDN w:val="0"/>
      <w:adjustRightInd w:val="0"/>
      <w:jc w:val="center"/>
      <w:rPr>
        <w:sz w:val="16"/>
        <w:szCs w:val="16"/>
      </w:rPr>
    </w:pPr>
    <w:r w:rsidRPr="00FD2C76">
      <w:rPr>
        <w:rFonts w:cs="Arial"/>
        <w:sz w:val="16"/>
        <w:szCs w:val="16"/>
      </w:rPr>
      <w:fldChar w:fldCharType="begin"/>
    </w:r>
    <w:r w:rsidRPr="00FD2C76">
      <w:rPr>
        <w:rFonts w:cs="Arial"/>
        <w:sz w:val="16"/>
        <w:szCs w:val="16"/>
      </w:rPr>
      <w:instrText xml:space="preserve"> PAGE </w:instrText>
    </w:r>
    <w:r w:rsidRPr="00FD2C76">
      <w:rPr>
        <w:rFonts w:cs="Arial"/>
        <w:sz w:val="16"/>
        <w:szCs w:val="16"/>
      </w:rPr>
      <w:fldChar w:fldCharType="separate"/>
    </w:r>
    <w:r w:rsidRPr="00FD2C76">
      <w:rPr>
        <w:rFonts w:cs="Arial"/>
        <w:sz w:val="16"/>
        <w:szCs w:val="16"/>
      </w:rPr>
      <w:t>8</w:t>
    </w:r>
    <w:r w:rsidRPr="00FD2C7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A148B3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531FB" w:rsidRPr="00A531FB">
      <w:rPr>
        <w:rFonts w:cs="Arial"/>
        <w:noProof/>
        <w:sz w:val="16"/>
        <w:szCs w:val="16"/>
      </w:rPr>
      <w:t>Zykadia</w:t>
    </w:r>
    <w:r w:rsidR="00A531FB">
      <w:rPr>
        <w:rFonts w:cs="Arial"/>
        <w:noProof/>
        <w:snapToGrid w:val="0"/>
        <w:color w:val="000000"/>
        <w:sz w:val="16"/>
        <w:szCs w:val="16"/>
      </w:rPr>
      <w:t xml:space="preserve"> SGM 1668-A</w:t>
    </w:r>
    <w:r w:rsidR="00A531FB" w:rsidRPr="00A531F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B769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71D374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D40CFFF" w:rsidR="00ED04EC" w:rsidRPr="00FD2C76" w:rsidRDefault="00F50D98" w:rsidP="00437242">
    <w:pPr>
      <w:autoSpaceDE w:val="0"/>
      <w:autoSpaceDN w:val="0"/>
      <w:adjustRightInd w:val="0"/>
      <w:jc w:val="center"/>
      <w:rPr>
        <w:sz w:val="16"/>
        <w:szCs w:val="16"/>
      </w:rPr>
    </w:pPr>
    <w:r w:rsidRPr="00FD2C76">
      <w:rPr>
        <w:rFonts w:cs="Arial"/>
        <w:sz w:val="16"/>
        <w:szCs w:val="16"/>
      </w:rPr>
      <w:fldChar w:fldCharType="begin"/>
    </w:r>
    <w:r w:rsidRPr="00FD2C76">
      <w:rPr>
        <w:rFonts w:cs="Arial"/>
        <w:sz w:val="16"/>
        <w:szCs w:val="16"/>
      </w:rPr>
      <w:instrText xml:space="preserve"> PAGE </w:instrText>
    </w:r>
    <w:r w:rsidRPr="00FD2C76">
      <w:rPr>
        <w:rFonts w:cs="Arial"/>
        <w:sz w:val="16"/>
        <w:szCs w:val="16"/>
      </w:rPr>
      <w:fldChar w:fldCharType="separate"/>
    </w:r>
    <w:r w:rsidRPr="00FD2C76">
      <w:rPr>
        <w:rFonts w:cs="Arial"/>
        <w:sz w:val="16"/>
        <w:szCs w:val="16"/>
      </w:rPr>
      <w:t>2</w:t>
    </w:r>
    <w:r w:rsidRPr="00FD2C7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29A6B" w14:textId="4D7A817C" w:rsidR="00560B83" w:rsidRPr="00F50D98" w:rsidRDefault="00560B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582E5" w14:textId="77777777" w:rsidR="00633747" w:rsidRDefault="00633747">
      <w:r>
        <w:separator/>
      </w:r>
    </w:p>
  </w:footnote>
  <w:footnote w:type="continuationSeparator" w:id="0">
    <w:p w14:paraId="050A511D" w14:textId="77777777" w:rsidR="00633747" w:rsidRDefault="00633747">
      <w:r>
        <w:continuationSeparator/>
      </w:r>
    </w:p>
  </w:footnote>
  <w:footnote w:type="continuationNotice" w:id="1">
    <w:p w14:paraId="782CCDEF" w14:textId="77777777" w:rsidR="00633747" w:rsidRDefault="006337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255D53" w:rsidRPr="00BD1CC1" w14:paraId="149430E6" w14:textId="77777777" w:rsidTr="0070438D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2809A1E2" w14:textId="77777777" w:rsidR="00255D53" w:rsidRPr="00EC47B6" w:rsidRDefault="00255D53" w:rsidP="00255D53">
          <w:pPr>
            <w:pStyle w:val="RefTableData"/>
          </w:pPr>
          <w:r w:rsidRPr="00F246C7">
            <w:t>Reference number(s</w:t>
          </w:r>
          <w:r w:rsidRPr="00EC47B6">
            <w:t>)</w:t>
          </w:r>
        </w:p>
      </w:tc>
    </w:tr>
    <w:tr w:rsidR="00255D53" w:rsidRPr="00BD1CC1" w14:paraId="5B3CB500" w14:textId="77777777" w:rsidTr="0070438D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14249A36" w14:textId="77777777" w:rsidR="00255D53" w:rsidRPr="00FF66BF" w:rsidRDefault="00255D53" w:rsidP="00255D53">
          <w:pPr>
            <w:pStyle w:val="RefTableHeader"/>
          </w:pPr>
          <w:r w:rsidRPr="00D44C62">
            <w:t>1668-A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4FCB" w14:textId="77777777" w:rsidR="00560B83" w:rsidRPr="00BD1CC1" w:rsidRDefault="00560B83" w:rsidP="00560B83">
    <w:pPr>
      <w:pStyle w:val="BodyText"/>
      <w:rPr>
        <w:sz w:val="6"/>
        <w:szCs w:val="6"/>
      </w:rPr>
    </w:pPr>
  </w:p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560B83" w:rsidRPr="00BD1CC1" w14:paraId="3F183DE2" w14:textId="77777777" w:rsidTr="00765379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41D90EC4" w14:textId="77777777" w:rsidR="00560B83" w:rsidRPr="00EC47B6" w:rsidRDefault="00560B83" w:rsidP="00560B83">
          <w:pPr>
            <w:pStyle w:val="RefTableData"/>
          </w:pPr>
          <w:r w:rsidRPr="00F246C7">
            <w:t>Reference number(s</w:t>
          </w:r>
          <w:r w:rsidRPr="00EC47B6">
            <w:t>)</w:t>
          </w:r>
        </w:p>
      </w:tc>
    </w:tr>
    <w:tr w:rsidR="00560B83" w:rsidRPr="00BD1CC1" w14:paraId="5D7E028C" w14:textId="77777777" w:rsidTr="00765379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0AE849" w14:textId="77777777" w:rsidR="00560B83" w:rsidRPr="00FF66BF" w:rsidRDefault="00560B83" w:rsidP="00560B83">
          <w:pPr>
            <w:pStyle w:val="RefTableHeader"/>
          </w:pPr>
          <w:r w:rsidRPr="00D44C62">
            <w:t>1668-A</w:t>
          </w:r>
        </w:p>
      </w:tc>
    </w:tr>
  </w:tbl>
  <w:p w14:paraId="4892EE95" w14:textId="77777777" w:rsidR="00560B83" w:rsidRPr="00560B83" w:rsidRDefault="00560B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F61FA"/>
    <w:multiLevelType w:val="hybridMultilevel"/>
    <w:tmpl w:val="241A6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E0469"/>
    <w:multiLevelType w:val="hybridMultilevel"/>
    <w:tmpl w:val="B69E7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D141D2"/>
    <w:multiLevelType w:val="hybridMultilevel"/>
    <w:tmpl w:val="C4FC6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47D34D1"/>
    <w:multiLevelType w:val="hybridMultilevel"/>
    <w:tmpl w:val="E0163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E142D89"/>
    <w:multiLevelType w:val="hybridMultilevel"/>
    <w:tmpl w:val="2BC80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5B77C8"/>
    <w:multiLevelType w:val="hybridMultilevel"/>
    <w:tmpl w:val="0CBCC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64A21"/>
    <w:multiLevelType w:val="hybridMultilevel"/>
    <w:tmpl w:val="33ACC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27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1"/>
  </w:num>
  <w:num w:numId="17" w16cid:durableId="2128498676">
    <w:abstractNumId w:val="30"/>
  </w:num>
  <w:num w:numId="18" w16cid:durableId="299724409">
    <w:abstractNumId w:val="24"/>
  </w:num>
  <w:num w:numId="19" w16cid:durableId="214585573">
    <w:abstractNumId w:val="17"/>
  </w:num>
  <w:num w:numId="20" w16cid:durableId="1289816170">
    <w:abstractNumId w:val="19"/>
  </w:num>
  <w:num w:numId="21" w16cid:durableId="1066490929">
    <w:abstractNumId w:val="31"/>
  </w:num>
  <w:num w:numId="22" w16cid:durableId="1472481103">
    <w:abstractNumId w:val="26"/>
  </w:num>
  <w:num w:numId="23" w16cid:durableId="1997420403">
    <w:abstractNumId w:val="28"/>
  </w:num>
  <w:num w:numId="24" w16cid:durableId="33312838">
    <w:abstractNumId w:val="25"/>
  </w:num>
  <w:num w:numId="25" w16cid:durableId="507404939">
    <w:abstractNumId w:val="20"/>
  </w:num>
  <w:num w:numId="26" w16cid:durableId="1777940696">
    <w:abstractNumId w:val="11"/>
  </w:num>
  <w:num w:numId="27" w16cid:durableId="458843823">
    <w:abstractNumId w:val="18"/>
  </w:num>
  <w:num w:numId="28" w16cid:durableId="216480025">
    <w:abstractNumId w:val="22"/>
  </w:num>
  <w:num w:numId="29" w16cid:durableId="1220245968">
    <w:abstractNumId w:val="10"/>
  </w:num>
  <w:num w:numId="30" w16cid:durableId="41178748">
    <w:abstractNumId w:val="16"/>
  </w:num>
  <w:num w:numId="31" w16cid:durableId="28335817">
    <w:abstractNumId w:val="13"/>
  </w:num>
  <w:num w:numId="32" w16cid:durableId="324825664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B5F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ECB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D7F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56D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05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5D53"/>
    <w:rsid w:val="002568ED"/>
    <w:rsid w:val="00260902"/>
    <w:rsid w:val="00260A91"/>
    <w:rsid w:val="00261738"/>
    <w:rsid w:val="00261F81"/>
    <w:rsid w:val="0026235F"/>
    <w:rsid w:val="00262630"/>
    <w:rsid w:val="00262A4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C7D85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78B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252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242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CA9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680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EBE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AF3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291D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AC3"/>
    <w:rsid w:val="00535B1E"/>
    <w:rsid w:val="005361D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0B83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490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747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BFB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859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0DE2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438D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6957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53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921"/>
    <w:rsid w:val="00844E79"/>
    <w:rsid w:val="008465D2"/>
    <w:rsid w:val="008476E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517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394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2E77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D7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8B4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09D3"/>
    <w:rsid w:val="00A511FF"/>
    <w:rsid w:val="00A51559"/>
    <w:rsid w:val="00A51681"/>
    <w:rsid w:val="00A51EB0"/>
    <w:rsid w:val="00A52861"/>
    <w:rsid w:val="00A52A2C"/>
    <w:rsid w:val="00A531FB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44E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1562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17A"/>
    <w:rsid w:val="00B513CC"/>
    <w:rsid w:val="00B51564"/>
    <w:rsid w:val="00B51582"/>
    <w:rsid w:val="00B5186D"/>
    <w:rsid w:val="00B52926"/>
    <w:rsid w:val="00B52EAA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0AF5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D95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798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69F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4FE0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C62"/>
    <w:rsid w:val="00D45515"/>
    <w:rsid w:val="00D45602"/>
    <w:rsid w:val="00D456BD"/>
    <w:rsid w:val="00D4581E"/>
    <w:rsid w:val="00D46708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4963"/>
    <w:rsid w:val="00D6549B"/>
    <w:rsid w:val="00D65533"/>
    <w:rsid w:val="00D6619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073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C5B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D2A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F82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010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E22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69D9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307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DDA"/>
    <w:rsid w:val="00FA5681"/>
    <w:rsid w:val="00FA5A41"/>
    <w:rsid w:val="00FA63DF"/>
    <w:rsid w:val="00FA6754"/>
    <w:rsid w:val="00FA6A60"/>
    <w:rsid w:val="00FA6ECF"/>
    <w:rsid w:val="00FA7483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2C76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49DBF4E"/>
    <w:rsid w:val="29729D5D"/>
    <w:rsid w:val="62C780E2"/>
    <w:rsid w:val="6D1DC6A4"/>
    <w:rsid w:val="75B8D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docId w15:val="{BBCE8744-B9CD-498A-855E-A9F1B59C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6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B921BF01-1F7D-4D14-9652-B0BA5A808A8B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Zykadia SGM 1668-A</vt:lpstr>
    </vt:vector>
  </TitlesOfParts>
  <Company>CVS Caremark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Zykadia SGM 1668-A</dc:title>
  <dc:subject>Zykadia SGM 1668-A</dc:subject>
  <dc:creator>CVS Caremark</dc:creator>
  <cp:keywords/>
  <dc:description/>
  <cp:lastModifiedBy>Reynoso, Victor H</cp:lastModifiedBy>
  <cp:revision>3</cp:revision>
  <cp:lastPrinted>2024-04-26T12:30:00Z</cp:lastPrinted>
  <dcterms:created xsi:type="dcterms:W3CDTF">2025-07-15T12:45:00Z</dcterms:created>
  <dcterms:modified xsi:type="dcterms:W3CDTF">2025-07-15T12:46:00Z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849800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